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_rels/.rels" ContentType="application/vnd.openxmlformats-package.relationship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bidi w:val="0"/>
        <w:spacing w:lineRule="auto" w:line="240" w:before="240" w:after="480"/>
        <w:ind w:left="0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Hajdúszoboszló Város Önkormányzata Képviselő-testületének 24/2024. (IX. 19.) önkormányzati rendelete</w:t>
      </w:r>
    </w:p>
    <w:p>
      <w:pPr>
        <w:pStyle w:val="TextBody"/>
        <w:bidi w:val="0"/>
        <w:spacing w:lineRule="auto" w:line="240" w:before="240" w:after="480"/>
        <w:ind w:left="0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 közterület-használat, közterület-hasznosítás helyi szabályairól szóló 12/2019. (IV. 25.) önkormányzati rendelete módosításáról</w:t>
      </w:r>
    </w:p>
    <w:p>
      <w:pPr>
        <w:pStyle w:val="TextBody"/>
        <w:bidi w:val="0"/>
        <w:spacing w:lineRule="auto" w:line="240" w:before="22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Hajdúszoboszló Város Önkormányzata Képviselő-testülete az Alaptörvény 32. § (2) bekezdésében meghatározott eredeti jogalkotói hatáskörében, az Alaptörvény 32. cikk (1) bekezdés a) pontjában és az épített környezet alakításáról és védelméről szóló 1997. évi LXXVIII. törvény 54. § (5) bekezdésében kapott felhatalmazás alapján, a Magyarország helyi önkormányzatairól szóló 2011. évi CLXXXIX. törvény 13. § (1) bekezdés 2. pontjában meghatározott feladatkörében eljárva, Hajdúszoboszló Város Önkormányzata Képviselő-testületének az önkormányzat szervezeti és működési szabályzatáról szóló 18/2019. (XI. 7.) önkormányzati rendelete 4. melléklete alapján a Városfejlesztési és Műszaki Bizottság, Turisztikai é Nemzetközi Kapcsolatokért Felelős Bizottság, valamint Jogi, Igazgatási és Ügyrendi Bizottság véleményét kikérve a közterület-használat, közterület-hasznosítás helyi szabályairól szóló 12/2019. (IV. 25.) önkormányzati rendelete módosításáról a következőket rendeli el:</w:t>
      </w:r>
    </w:p>
    <w:p>
      <w:pPr>
        <w:pStyle w:val="TextBody"/>
        <w:bidi w:val="0"/>
        <w:spacing w:lineRule="auto" w:line="240" w:before="240" w:after="240"/>
        <w:ind w:left="0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1. §</w:t>
      </w:r>
    </w:p>
    <w:p>
      <w:pPr>
        <w:pStyle w:val="TextBody"/>
        <w:bidi w:val="0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(1) A közterület-használat, közterület-hasznosítás helyi szabályairól szóló 12/2019. (IV. 25.) önkormányzati rendelet 2. § (2) bekezdés b) pontja helyébe a következő rendelkezés lép:</w:t>
      </w:r>
    </w:p>
    <w:p>
      <w:pPr>
        <w:pStyle w:val="TextBody"/>
        <w:bidi w:val="0"/>
        <w:spacing w:lineRule="auto" w:line="240" w:before="240" w:after="0"/>
        <w:ind w:left="0" w:hanging="0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(Nem terjed ki a rendelet hatálya:)</w:t>
      </w:r>
    </w:p>
    <w:p>
      <w:pPr>
        <w:pStyle w:val="TextBody"/>
        <w:bidi w:val="0"/>
        <w:spacing w:lineRule="auto" w:line="240" w:before="0" w:after="240"/>
        <w:ind w:left="580" w:hanging="56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b)</w:t>
      </w:r>
      <w:r>
        <w:rPr>
          <w:sz w:val="24"/>
          <w:szCs w:val="24"/>
        </w:rPr>
        <w:tab/>
        <w:t>önkormányzati rendelettel külön szabályozott területekre,”</w:t>
      </w:r>
    </w:p>
    <w:p>
      <w:pPr>
        <w:pStyle w:val="TextBody"/>
        <w:bidi w:val="0"/>
        <w:spacing w:lineRule="auto" w:line="240" w:before="24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(2) A közterület-használat, közterület-hasznosítás helyi szabályairól szóló 12/2019. (IV. 25.) önkormányzati rendelet 2. § (2) bekezdése a következő c) ponttal egészül ki:</w:t>
      </w:r>
    </w:p>
    <w:p>
      <w:pPr>
        <w:pStyle w:val="TextBody"/>
        <w:bidi w:val="0"/>
        <w:spacing w:lineRule="auto" w:line="240" w:before="240" w:after="0"/>
        <w:ind w:left="0" w:hanging="0"/>
        <w:jc w:val="both"/>
        <w:rPr>
          <w:rFonts w:ascii="Times New Roman" w:hAnsi="Times New Roman"/>
          <w:i/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(Nem terjed ki a rendelet hatálya:)</w:t>
      </w:r>
    </w:p>
    <w:p>
      <w:pPr>
        <w:pStyle w:val="TextBody"/>
        <w:bidi w:val="0"/>
        <w:spacing w:lineRule="auto" w:line="240" w:before="0" w:after="240"/>
        <w:ind w:left="580" w:hanging="56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c)</w:t>
      </w:r>
      <w:r>
        <w:rPr>
          <w:sz w:val="24"/>
          <w:szCs w:val="24"/>
        </w:rPr>
        <w:tab/>
        <w:t>a szomszédjogok és a tulajdonjog korlátainak különös szabályairól szóló 2013. évi CLXXIV. törvény 5/A. § (1) bekezdésében foglalt területre. ”</w:t>
      </w:r>
    </w:p>
    <w:p>
      <w:pPr>
        <w:pStyle w:val="TextBody"/>
        <w:bidi w:val="0"/>
        <w:spacing w:lineRule="auto" w:line="240" w:before="240" w:after="240"/>
        <w:ind w:left="0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 §</w:t>
      </w:r>
    </w:p>
    <w:p>
      <w:pPr>
        <w:pStyle w:val="TextBody"/>
        <w:bidi w:val="0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A közterület-használat, közterület-hasznosítás helyi szabályairól szóló 12/2019. (IV. 25.) önkormányzati rendelet 10. §-a a következő (9) bekezdéssel egészül ki:</w:t>
      </w:r>
    </w:p>
    <w:p>
      <w:pPr>
        <w:pStyle w:val="TextBody"/>
        <w:bidi w:val="0"/>
        <w:spacing w:lineRule="auto" w:line="240" w:before="240" w:after="24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„</w:t>
      </w:r>
      <w:r>
        <w:rPr>
          <w:sz w:val="24"/>
          <w:szCs w:val="24"/>
        </w:rPr>
        <w:t>(9) A 4.melléklet 10. pontjában foglalt konflis tekintetében egyidejűleg két hatósági szerződés köthető. Az üzemeltetők számára várakozásra kijelölt hely a 3030/3. hrsz.-ú önkormányzati tulajdonú terület.”</w:t>
      </w:r>
    </w:p>
    <w:p>
      <w:pPr>
        <w:pStyle w:val="TextBody"/>
        <w:bidi w:val="0"/>
        <w:spacing w:lineRule="auto" w:line="240" w:before="240" w:after="240"/>
        <w:ind w:left="0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 §</w:t>
      </w:r>
    </w:p>
    <w:p>
      <w:pPr>
        <w:pStyle w:val="TextBody"/>
        <w:bidi w:val="0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A közterület-használat, közterület-hasznosítás helyi szabályairól szóló 12/2019. (IV. 25.) önkormányzati rendelet 14. § (4) bekezdése helyébe a következő rendelkezés lép:</w:t>
      </w:r>
    </w:p>
    <w:p>
      <w:pPr>
        <w:pStyle w:val="TextBody"/>
        <w:bidi w:val="0"/>
        <w:spacing w:lineRule="auto" w:line="240" w:before="240" w:after="24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„</w:t>
      </w:r>
      <w:r>
        <w:rPr>
          <w:sz w:val="24"/>
          <w:szCs w:val="24"/>
        </w:rPr>
        <w:t>(4) Közterület használat igénybevételét – a III. fejezet kivételével – annak kell előterjesztenie, aki a közterületet használni kívánja. A kérelmet a mellékleteivel együtt a közterület igénybe vétele előtt legalább 30 nappal kell benyújtani. Az idegenforgalmi főszezon időszakára eső, (3) bekezdés hatálya alá tartozó hasznosítási kérelmet legkésőbb tárgyév április 30. napjáig lehet benyújtani. ”</w:t>
      </w:r>
    </w:p>
    <w:p>
      <w:pPr>
        <w:pStyle w:val="TextBody"/>
        <w:bidi w:val="0"/>
        <w:spacing w:lineRule="auto" w:line="240" w:before="240" w:after="240"/>
        <w:ind w:left="0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 §</w:t>
      </w:r>
    </w:p>
    <w:p>
      <w:pPr>
        <w:pStyle w:val="TextBody"/>
        <w:bidi w:val="0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A közterület-használat, közterület-hasznosítás helyi szabályairól szóló 12/2019. (IV. 25.) önkormányzati rendelet 4. melléklete helyébe az 1. melléklet lép.</w:t>
      </w:r>
    </w:p>
    <w:p>
      <w:pPr>
        <w:pStyle w:val="TextBody"/>
        <w:bidi w:val="0"/>
        <w:spacing w:lineRule="auto" w:line="240" w:before="240" w:after="240"/>
        <w:ind w:left="0" w:hanging="0"/>
        <w:jc w:val="center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 §</w:t>
      </w:r>
    </w:p>
    <w:p>
      <w:pPr>
        <w:pStyle w:val="TextBody"/>
        <w:bidi w:val="0"/>
        <w:spacing w:lineRule="auto" w:line="240" w:before="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Ez a rendelet 2024. november 1-jén lép hatályba.</w:t>
      </w:r>
      <w:r>
        <w:br w:type="page"/>
      </w:r>
    </w:p>
    <w:p>
      <w:pPr>
        <w:pStyle w:val="TextBody"/>
        <w:bidi w:val="0"/>
        <w:spacing w:lineRule="auto" w:line="240"/>
        <w:jc w:val="right"/>
        <w:rPr>
          <w:rFonts w:ascii="Times New Roman" w:hAnsi="Times New Roman"/>
          <w:i/>
          <w:i/>
          <w:iCs/>
          <w:sz w:val="24"/>
          <w:szCs w:val="24"/>
          <w:u w:val="single"/>
        </w:rPr>
      </w:pPr>
      <w:r>
        <w:rPr>
          <w:i/>
          <w:iCs/>
          <w:sz w:val="24"/>
          <w:szCs w:val="24"/>
          <w:u w:val="single"/>
        </w:rPr>
        <w:t>1. melléklet a 24/2024. (IX. 19.) önkormányzati rendelethez</w:t>
      </w:r>
    </w:p>
    <w:p>
      <w:pPr>
        <w:pStyle w:val="TextBody"/>
        <w:bidi w:val="0"/>
        <w:spacing w:lineRule="auto" w:line="240" w:before="240" w:after="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„</w:t>
      </w:r>
      <w:r>
        <w:rPr>
          <w:i/>
          <w:iCs/>
          <w:sz w:val="24"/>
          <w:szCs w:val="24"/>
        </w:rPr>
        <w:t>4. melléklet</w:t>
      </w:r>
    </w:p>
    <w:p>
      <w:pPr>
        <w:sectPr>
          <w:footerReference w:type="default" r:id="rId2"/>
          <w:type w:val="nextPage"/>
          <w:pgSz w:w="11906" w:h="16838"/>
          <w:pgMar w:left="1134" w:right="1134" w:header="0" w:top="1134" w:footer="1134" w:bottom="1693" w:gutter="0"/>
          <w:pgNumType w:fmt="decimal"/>
          <w:formProt w:val="false"/>
          <w:textDirection w:val="lrTb"/>
          <w:docGrid w:type="default" w:linePitch="600" w:charSpace="32768"/>
        </w:sectPr>
        <w:pStyle w:val="TextBody"/>
        <w:bidi w:val="0"/>
        <w:spacing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(A melléklet szövegét a(z) 12_2019_4_melleket_20240920-tol.pdf elnevezésű fájl tartalmazza.)”</w:t>
      </w:r>
    </w:p>
    <w:p>
      <w:pPr>
        <w:pStyle w:val="TextBody"/>
        <w:bidi w:val="0"/>
        <w:spacing w:before="0" w:after="0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TextBody"/>
        <w:bidi w:val="0"/>
        <w:spacing w:lineRule="auto" w:line="240" w:before="0" w:after="159"/>
        <w:ind w:left="159" w:right="159" w:hanging="0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Végső előterjesztői indokolás</w:t>
      </w:r>
    </w:p>
    <w:p>
      <w:pPr>
        <w:pStyle w:val="TextBody"/>
        <w:bidi w:val="0"/>
        <w:spacing w:lineRule="auto" w:line="240" w:before="0" w:after="200"/>
        <w:ind w:left="0" w:righ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Tisztelt Képviselő-testület!</w:t>
      </w:r>
    </w:p>
    <w:p>
      <w:pPr>
        <w:pStyle w:val="TextBody"/>
        <w:bidi w:val="0"/>
        <w:spacing w:lineRule="auto" w:line="240" w:before="0" w:after="200"/>
        <w:ind w:left="0" w:righ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Tisztelt Bizottságok!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Hajdúszoboszló Város Önkormányzata Képviselő-testületének a közterület-használat, közterület-hasznosítás helyi szabályairól szóló 12/2019. (IV. 25.) önkormányzati rendeletének (a továbbiakban: R.) felülvizsgálata több okból is szükségessé vált. A 2024. évi nyári szezon lezárása és a tapasztalatok összegzése következtében, továbbá egy törvényességi szakmai segítségnyújtás alapján több tekintetben javasoljuk a Rendelet módosítását az alább kifejtettek szerint: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Normal"/>
        <w:numPr>
          <w:ilvl w:val="0"/>
          <w:numId w:val="2"/>
        </w:numPr>
        <w:bidi w:val="0"/>
        <w:spacing w:lineRule="auto" w:line="240" w:before="159" w:after="159"/>
        <w:ind w:left="159" w:right="159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Egyedi kérelmekre vonatkozó speciális szabályok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A hatályos rendelet 14.§ (3) bekezdése értelmében a 2. sz. és a 3. sz. mellékletben szereplő, kijelölt helyeken kívüli, egyéb közterület hasznosítási kérelmekről a Képviselő-testület egyedileg dönt. Tekintettel arra, hogy az egyedi kérelmekről a Képviselő-testület jogosult dönteni, azonban nyáron nincs minden hónapban munkaterv szerinti ülés, így az ekkor érkező kérelmeket tárgyalni nem tudja. Indokolt, hogy e kérelmekről a szezont megelőzően kellő időben döntés szülessen. Ennek megfelelően a Rendelet kiegészülne azzal a feltétellel, hogy az ilyen kérelmeknek a tevékenység megkezdését megelőzően legalább 60 nappal, az idegenforgalmi főszezon idejére eső tevékenység esetén legkésőbb tárgyév április 30. napjáig be kell érkezniük.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Normal"/>
        <w:numPr>
          <w:ilvl w:val="0"/>
          <w:numId w:val="3"/>
        </w:numPr>
        <w:bidi w:val="0"/>
        <w:spacing w:lineRule="auto" w:line="240" w:before="159" w:after="159"/>
        <w:ind w:left="159" w:right="159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Vendéglátóipari előkertek rendeletben meghatározott helyszínének kibővítése, díjtételek módosítása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A Szent István park, mint vendéglátóipari előkert a hatályos Rendelet 4. sz. mellékletében nem szerepel a nevesített helyszínek között. Ennek érdekében javaslatot teszünk a Szent István parkban található előkertek közterület-használati díjának rendeleti szabályozására, mely összeg megegyezik a Szilfákalja 32. sz. és a József Attila u. közötti előkertek díjtételeivel.  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Javaslatot teszünk továbbá a jelenleg hatályos díjtételek 25%-os mértékű emelésére a vendáglátóipari előkertek vonatkozásában.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Normal"/>
        <w:numPr>
          <w:ilvl w:val="0"/>
          <w:numId w:val="4"/>
        </w:numPr>
        <w:bidi w:val="0"/>
        <w:spacing w:lineRule="auto" w:line="240" w:before="159" w:after="159"/>
        <w:ind w:left="159" w:right="159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Magasabb rendű jogszabálynak történő megfeleltetés</w:t>
      </w:r>
    </w:p>
    <w:p>
      <w:pPr>
        <w:pStyle w:val="TextBody"/>
        <w:bidi w:val="0"/>
        <w:spacing w:lineRule="auto" w:line="240" w:before="0" w:after="200"/>
        <w:ind w:left="72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TextBody"/>
        <w:bidi w:val="0"/>
        <w:spacing w:lineRule="auto" w:line="240" w:before="0" w:after="20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Módosult a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szomszédjogok és a tulajdonjog korlátainak különös szabályairól szóló 2013. évi CLXXIV. törvény, melybe beiktatásra került a</w:t>
      </w:r>
      <w:r>
        <w:rPr>
          <w:b/>
          <w:bCs/>
          <w:sz w:val="24"/>
          <w:szCs w:val="24"/>
        </w:rPr>
        <w:t xml:space="preserve"> </w:t>
      </w:r>
      <w:r>
        <w:rPr>
          <w:sz w:val="24"/>
          <w:szCs w:val="24"/>
        </w:rPr>
        <w:t>5/A. §  (1) bekezdése. Ennek értelmében a reklámcélú hasznosítási jog alapján a lakóépület tulajdonosa a tulajdonhoz való jog és a tulajdonnal való szabad rendelkezés körében – a közigazgatási anyagi jogszabályokban meghatározott feltételekkel összhangban – jogosult a lakóépület erre alkalmas felületeinek reklámelhelyezés céljából történő hasznosítására. A reklámcélú hasznosítási jog a reklámozó személyre is kiterjedően magában foglalja a közterületi ingatlan feletti légi tér e törvényben meghatározott mértékű térítésmentes igénybevételének a lehetőségét.</w:t>
      </w:r>
    </w:p>
    <w:p>
      <w:pPr>
        <w:pStyle w:val="TextBody"/>
        <w:bidi w:val="0"/>
        <w:spacing w:lineRule="auto" w:line="240" w:before="0" w:after="20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TextBody"/>
        <w:bidi w:val="0"/>
        <w:spacing w:lineRule="auto" w:line="240" w:before="0" w:after="20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A Rendelet  2. § (2) bekezdésének módosításával (a rendelet hatálya alá nem tartozó területek felsorolásának kiegészítésével) egyértelművé tehető, hogy a rendelet hatálya nem terjed ki a szomszédjogok és a tulajdonjog korlátainak különös szabályairól szóló 2013. évi CLXXIV. törvény 5/A. §-ában foglalt területre. </w:t>
      </w:r>
    </w:p>
    <w:p>
      <w:pPr>
        <w:pStyle w:val="TextBody"/>
        <w:bidi w:val="0"/>
        <w:spacing w:lineRule="auto" w:line="240" w:before="0" w:after="20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Normal"/>
        <w:numPr>
          <w:ilvl w:val="0"/>
          <w:numId w:val="5"/>
        </w:numPr>
        <w:bidi w:val="0"/>
        <w:spacing w:lineRule="auto" w:line="240" w:before="159" w:after="159"/>
        <w:ind w:left="159" w:right="159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Lovashintóra vonatkozó szabályok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A Rendelet a 4. sz. melléklet 10. sorban található, „konflis, riksa, elektromos lassújármű (pl. segway, golfautó, stb.)” díjtételének meghatározásán túl a lovashintózásra vonatkozóan nem tartalmaz egyedi szabályokat.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Javasoljuk rendeletileg szabályozni, hogy egy adott időszakra vonatkozóan egyszerre két hatósági szerződés lehet érvényben legfeljebb két külön szerződő fél részére lovashintózási tevékenység végzésére.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Tekintettel arra, hogy a lovashintók számára nincs rendeletben kijelölt megállóhely, javasoljuk kijelölt megállóhelyként a Szent Erzsébet és Gábor Áron utca sarkán található, 3030/3. hrsz.-ú önkormányzati tulajdonú terület kijelölését.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Javasoljuk továbbá a tevékenység díjtételének megemelését 5000.-Ft/db/nap összegre. 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TextBody"/>
        <w:bidi w:val="0"/>
        <w:spacing w:lineRule="auto" w:line="240" w:before="0" w:after="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Az előterjesztés mellékletét képezi a módosító rendelet tervezete.</w:t>
      </w:r>
    </w:p>
    <w:p>
      <w:pPr>
        <w:pStyle w:val="TextBody"/>
        <w:bidi w:val="0"/>
        <w:spacing w:lineRule="auto" w:line="240" w:before="0" w:after="20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TextBody"/>
        <w:bidi w:val="0"/>
        <w:spacing w:lineRule="auto" w:line="240" w:before="0" w:after="200"/>
        <w:ind w:left="0" w:right="0" w:hanging="0"/>
        <w:jc w:val="both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 fentiek alapján kérjük a Hajdúszoboszló Város Önkormányzata Képviselő-testületének a közterület-használat, közterület-hasznosítás helyi szabályairól szóló 12/2019. (IV. 25.) önkormányzati rendelete módosítását az előterjesztés 2. mellékletében foglalt rendelettervezet szerint.</w:t>
      </w:r>
    </w:p>
    <w:p>
      <w:pPr>
        <w:pStyle w:val="TextBody"/>
        <w:bidi w:val="0"/>
        <w:spacing w:lineRule="auto" w:line="240" w:before="0" w:after="20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TextBody"/>
        <w:bidi w:val="0"/>
        <w:spacing w:lineRule="auto" w:line="240" w:before="0" w:after="20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Hajdúszoboszló, 2024. szeptember 12.</w:t>
      </w:r>
    </w:p>
    <w:p>
      <w:pPr>
        <w:pStyle w:val="TextBody"/>
        <w:bidi w:val="0"/>
        <w:spacing w:lineRule="auto" w:line="240" w:before="0" w:after="200"/>
        <w:ind w:left="0" w:right="0" w:hanging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 </w:t>
      </w:r>
    </w:p>
    <w:p>
      <w:pPr>
        <w:pStyle w:val="TextBody"/>
        <w:bidi w:val="0"/>
        <w:spacing w:lineRule="auto" w:line="240" w:before="0" w:after="200"/>
        <w:ind w:left="0" w:right="0" w:hanging="0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dr. Morvai Gábor</w:t>
      </w:r>
    </w:p>
    <w:p>
      <w:pPr>
        <w:pStyle w:val="TextBody"/>
        <w:bidi w:val="0"/>
        <w:spacing w:lineRule="auto" w:line="240" w:before="0" w:after="200"/>
        <w:ind w:left="0" w:right="0" w:hanging="0"/>
        <w:jc w:val="center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jegyző</w:t>
      </w:r>
    </w:p>
    <w:sectPr>
      <w:footerReference w:type="default" r:id="rId3"/>
      <w:type w:val="nextPage"/>
      <w:pgSz w:w="11906" w:h="16838"/>
      <w:pgMar w:left="1134" w:right="1134" w:header="0" w:top="1134" w:footer="1134" w:bottom="1693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bidi w:val="0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5</w:t>
    </w:r>
    <w:r>
      <w:rPr/>
      <w:fldChar w:fldCharType="end"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bidi w:val="0"/>
      <w:jc w:val="center"/>
      <w:rPr/>
    </w:pPr>
    <w:r>
      <w:rPr/>
      <w:fldChar w:fldCharType="begin"/>
    </w:r>
    <w:r>
      <w:rPr/>
      <w:instrText> PAGE </w:instrText>
    </w:r>
    <w:r>
      <w:rPr/>
      <w:fldChar w:fldCharType="separate"/>
    </w:r>
    <w:r>
      <w:rPr/>
      <w:t>5</w:t>
    </w:r>
    <w:r>
      <w:rPr/>
      <w:fldChar w:fldCharType="end"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  <w:rPr/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  <w:rPr/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  <w:rPr/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  <w:rPr/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  <w:rPr/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  <w:rPr/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  <w:rPr/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  <w:rPr/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  <w:rPr/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  <w:rPr/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  <w:rPr/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  <w:rPr/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  <w:rPr/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  <w:rPr/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  <w:rPr/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  <w:rPr/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  <w:rPr/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  <w:rPr/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  <w:rPr/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  <w:rPr/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  <w:rPr/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  <w:rPr/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  <w:rPr/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  <w:rPr/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849"/>
        </w:tabs>
        <w:ind w:left="849" w:hanging="425"/>
      </w:pPr>
      <w:rPr/>
    </w:lvl>
    <w:lvl w:ilvl="1">
      <w:start w:val="1"/>
      <w:numFmt w:val="decimal"/>
      <w:lvlText w:val="%2."/>
      <w:lvlJc w:val="left"/>
      <w:pPr>
        <w:tabs>
          <w:tab w:val="num" w:pos="1274"/>
        </w:tabs>
        <w:ind w:left="1274" w:hanging="425"/>
      </w:pPr>
      <w:rPr/>
    </w:lvl>
    <w:lvl w:ilvl="2">
      <w:start w:val="1"/>
      <w:numFmt w:val="decimal"/>
      <w:lvlText w:val="%3."/>
      <w:lvlJc w:val="left"/>
      <w:pPr>
        <w:tabs>
          <w:tab w:val="num" w:pos="1699"/>
        </w:tabs>
        <w:ind w:left="1699" w:hanging="425"/>
      </w:pPr>
      <w:rPr/>
    </w:lvl>
    <w:lvl w:ilvl="3">
      <w:start w:val="1"/>
      <w:numFmt w:val="decimal"/>
      <w:lvlText w:val="%4."/>
      <w:lvlJc w:val="left"/>
      <w:pPr>
        <w:tabs>
          <w:tab w:val="num" w:pos="2123"/>
        </w:tabs>
        <w:ind w:left="2123" w:hanging="425"/>
      </w:pPr>
      <w:rPr/>
    </w:lvl>
    <w:lvl w:ilvl="4">
      <w:start w:val="1"/>
      <w:numFmt w:val="decimal"/>
      <w:lvlText w:val="%5."/>
      <w:lvlJc w:val="left"/>
      <w:pPr>
        <w:tabs>
          <w:tab w:val="num" w:pos="2548"/>
        </w:tabs>
        <w:ind w:left="2548" w:hanging="425"/>
      </w:pPr>
      <w:rPr/>
    </w:lvl>
    <w:lvl w:ilvl="5">
      <w:start w:val="1"/>
      <w:numFmt w:val="decimal"/>
      <w:lvlText w:val="%6."/>
      <w:lvlJc w:val="left"/>
      <w:pPr>
        <w:tabs>
          <w:tab w:val="num" w:pos="2972"/>
        </w:tabs>
        <w:ind w:left="2972" w:hanging="425"/>
      </w:pPr>
      <w:rPr/>
    </w:lvl>
    <w:lvl w:ilvl="6">
      <w:start w:val="1"/>
      <w:numFmt w:val="decimal"/>
      <w:lvlText w:val="%7."/>
      <w:lvlJc w:val="left"/>
      <w:pPr>
        <w:tabs>
          <w:tab w:val="num" w:pos="3397"/>
        </w:tabs>
        <w:ind w:left="3397" w:hanging="425"/>
      </w:pPr>
      <w:rPr/>
    </w:lvl>
    <w:lvl w:ilvl="7">
      <w:start w:val="1"/>
      <w:numFmt w:val="decimal"/>
      <w:lvlText w:val="%8."/>
      <w:lvlJc w:val="left"/>
      <w:pPr>
        <w:tabs>
          <w:tab w:val="num" w:pos="3822"/>
        </w:tabs>
        <w:ind w:left="3822" w:hanging="425"/>
      </w:pPr>
      <w:rPr/>
    </w:lvl>
    <w:lvl w:ilvl="8">
      <w:start w:val="1"/>
      <w:numFmt w:val="decimal"/>
      <w:lvlText w:val="%9."/>
      <w:lvlJc w:val="left"/>
      <w:pPr>
        <w:tabs>
          <w:tab w:val="num" w:pos="4246"/>
        </w:tabs>
        <w:ind w:left="4246" w:hanging="425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Times New Roman" w:hAnsi="Times New Roman" w:eastAsia="Noto Sans CJK SC Regular" w:cs="FreeSans"/>
      <w:color w:val="auto"/>
      <w:kern w:val="2"/>
      <w:sz w:val="24"/>
      <w:szCs w:val="24"/>
      <w:lang w:val="hu-HU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Heading2">
    <w:name w:val="Heading 2"/>
    <w:basedOn w:val="Heading"/>
    <w:next w:val="TextBody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Heading"/>
    <w:next w:val="TextBody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sz w:val="27"/>
      <w:szCs w:val="27"/>
    </w:rPr>
  </w:style>
  <w:style w:type="paragraph" w:styleId="Heading5">
    <w:name w:val="Heading 5"/>
    <w:basedOn w:val="Heading"/>
    <w:next w:val="TextBody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TextBody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InternetLink">
    <w:name w:val="Hyperlink"/>
    <w:rPr>
      <w:color w:val="000080"/>
      <w:u w:val="single"/>
    </w:rPr>
  </w:style>
  <w:style w:type="character" w:styleId="VisitedInternetLink">
    <w:name w:val="FollowedHyperlink"/>
    <w:rPr>
      <w:color w:val="800000"/>
      <w:u w:val="single"/>
    </w:rPr>
  </w:style>
  <w:style w:type="character" w:styleId="NumberingSymbols">
    <w:name w:val="Numbering Symbols"/>
    <w:qFormat/>
    <w:rPr/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986" w:leader="none"/>
        <w:tab w:val="right" w:pos="9972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TableContents">
    <w:name w:val="Table Contents"/>
    <w:basedOn w:val="Normal"/>
    <w:qFormat/>
    <w:pPr>
      <w:suppressLineNumbers/>
    </w:pPr>
    <w:rPr>
      <w:lang w:val="hu-HU"/>
    </w:rPr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HorizontalLine">
    <w:name w:val="Horizontal Line"/>
    <w:basedOn w:val="Normal"/>
    <w:next w:val="TextBody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</TotalTime>
  <Application>LibreOffice/7.0.6.2$Linux_X86_64 LibreOffice_project/144abb84a525d8e30c9dbbefa69cbbf2d8d4ae3b</Application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2017-08-15T13:24:49Z</dcterms:created>
  <dc:creator/>
  <dc:description/>
  <dc:language>en-US</dc:language>
  <cp:lastModifiedBy/>
  <dcterms:modified xsi:type="dcterms:W3CDTF">2018-01-30T11:27:53Z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